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33BEC" w14:textId="77777777" w:rsidR="005B3FE0" w:rsidRPr="000346FF" w:rsidRDefault="0058593E" w:rsidP="005B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E0" w:rsidRPr="000346FF">
        <w:rPr>
          <w:rFonts w:ascii="Times New Roman" w:hAnsi="Times New Roman" w:cs="Times New Roman"/>
          <w:b/>
          <w:sz w:val="24"/>
          <w:szCs w:val="24"/>
        </w:rPr>
        <w:t>САДОВЫЙ СЕЛЬСКИЙ СОВЕТ ДЕПУТАТОВ</w:t>
      </w:r>
    </w:p>
    <w:p w14:paraId="647ECAFD" w14:textId="77777777" w:rsidR="005B3FE0" w:rsidRPr="000346FF" w:rsidRDefault="005B3FE0" w:rsidP="005B3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FF">
        <w:rPr>
          <w:rFonts w:ascii="Times New Roman" w:hAnsi="Times New Roman" w:cs="Times New Roman"/>
          <w:b/>
          <w:sz w:val="24"/>
          <w:szCs w:val="24"/>
        </w:rPr>
        <w:t>ТРЕТЬЯКОВСКОГО РАЙОНА АЛТАЙСКОГО КРАЯ</w:t>
      </w:r>
    </w:p>
    <w:p w14:paraId="0440BD39" w14:textId="70812684" w:rsidR="00E23703" w:rsidRPr="005B3FE0" w:rsidRDefault="00E23703" w:rsidP="005B3FE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498610" w14:textId="77777777"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56D" w14:textId="629892ED" w:rsidR="0058593E" w:rsidRPr="00CD53A1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10856E" w14:textId="3FC47D8B" w:rsidR="0058593E" w:rsidRDefault="005B3FE0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21</w:t>
      </w:r>
    </w:p>
    <w:p w14:paraId="7D123D3E" w14:textId="249F148D" w:rsidR="005B3FE0" w:rsidRDefault="005B3FE0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п. Садовый</w:t>
      </w: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14:paraId="49E14DD7" w14:textId="77777777" w:rsidR="005B3FE0" w:rsidRPr="000346FF" w:rsidRDefault="0058593E" w:rsidP="005B3FE0">
      <w:pPr>
        <w:pStyle w:val="a4"/>
        <w:tabs>
          <w:tab w:val="left" w:pos="0"/>
        </w:tabs>
        <w:spacing w:after="0"/>
        <w:ind w:left="0" w:firstLine="709"/>
        <w:jc w:val="both"/>
        <w:rPr>
          <w:spacing w:val="-1"/>
          <w:sz w:val="28"/>
          <w:szCs w:val="28"/>
          <w:lang w:val="ru-RU"/>
        </w:rPr>
      </w:pPr>
      <w:r>
        <w:rPr>
          <w:sz w:val="28"/>
          <w:szCs w:val="28"/>
        </w:rPr>
        <w:t>В соответствии</w:t>
      </w:r>
      <w:r w:rsidR="00B74534">
        <w:rPr>
          <w:sz w:val="28"/>
          <w:szCs w:val="28"/>
        </w:rPr>
        <w:t xml:space="preserve"> с </w:t>
      </w:r>
      <w:r w:rsidR="00B74534" w:rsidRPr="00B74534">
        <w:rPr>
          <w:sz w:val="28"/>
          <w:szCs w:val="28"/>
        </w:rPr>
        <w:t>Федеральны</w:t>
      </w:r>
      <w:r w:rsidR="00B74534">
        <w:rPr>
          <w:sz w:val="28"/>
          <w:szCs w:val="28"/>
        </w:rPr>
        <w:t>м</w:t>
      </w:r>
      <w:r w:rsidR="00B74534" w:rsidRPr="00B74534">
        <w:rPr>
          <w:sz w:val="28"/>
          <w:szCs w:val="28"/>
        </w:rPr>
        <w:t xml:space="preserve"> закон</w:t>
      </w:r>
      <w:r w:rsidR="00B74534">
        <w:rPr>
          <w:sz w:val="28"/>
          <w:szCs w:val="28"/>
        </w:rPr>
        <w:t>ом</w:t>
      </w:r>
      <w:r w:rsidR="00B74534" w:rsidRPr="00B74534">
        <w:rPr>
          <w:sz w:val="28"/>
          <w:szCs w:val="28"/>
        </w:rPr>
        <w:t xml:space="preserve"> от </w:t>
      </w:r>
      <w:r w:rsidR="00A53295">
        <w:rPr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sz w:val="28"/>
          <w:szCs w:val="28"/>
        </w:rPr>
        <w:t xml:space="preserve"> </w:t>
      </w:r>
      <w:r w:rsidR="00C821AE" w:rsidRPr="00C821AE">
        <w:rPr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sz w:val="28"/>
          <w:szCs w:val="28"/>
          <w:lang w:eastAsia="ru-RU"/>
        </w:rPr>
        <w:t xml:space="preserve">от 04.09.2023 </w:t>
      </w:r>
      <w:r w:rsidR="00C821AE">
        <w:rPr>
          <w:sz w:val="28"/>
          <w:szCs w:val="28"/>
          <w:lang w:eastAsia="ru-RU"/>
        </w:rPr>
        <w:t>№</w:t>
      </w:r>
      <w:r w:rsidR="00C821AE" w:rsidRPr="00C821AE">
        <w:rPr>
          <w:sz w:val="28"/>
          <w:szCs w:val="28"/>
          <w:lang w:eastAsia="ru-RU"/>
        </w:rPr>
        <w:t xml:space="preserve">204 </w:t>
      </w:r>
      <w:r w:rsidR="00C821AE">
        <w:rPr>
          <w:sz w:val="28"/>
          <w:szCs w:val="28"/>
          <w:lang w:eastAsia="ru-RU"/>
        </w:rPr>
        <w:t>«</w:t>
      </w:r>
      <w:r w:rsidR="00C821AE" w:rsidRPr="00C821AE">
        <w:rPr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sz w:val="28"/>
          <w:szCs w:val="28"/>
          <w:lang w:eastAsia="ru-RU"/>
        </w:rPr>
        <w:t>»</w:t>
      </w:r>
      <w:bookmarkEnd w:id="2"/>
      <w:r w:rsidR="00C821AE">
        <w:rPr>
          <w:sz w:val="28"/>
          <w:szCs w:val="28"/>
          <w:lang w:eastAsia="ru-RU"/>
        </w:rPr>
        <w:t xml:space="preserve">, Уставом муниципального образования </w:t>
      </w:r>
      <w:r w:rsidR="005B3FE0" w:rsidRPr="000346FF">
        <w:rPr>
          <w:spacing w:val="-1"/>
          <w:sz w:val="28"/>
          <w:szCs w:val="28"/>
          <w:lang w:val="ru-RU"/>
        </w:rPr>
        <w:t xml:space="preserve">Садовый   сельсовет  Третьяковского района Алтайского края,  Садовый сельский Совет депутатов </w:t>
      </w:r>
    </w:p>
    <w:p w14:paraId="5505734E" w14:textId="1F5CE59C" w:rsidR="00B74534" w:rsidRDefault="00B74534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EDFE0" w14:textId="5D0E665E" w:rsidR="008A79E8" w:rsidRDefault="001F47A0" w:rsidP="005B3F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14:paraId="0C7A06E8" w14:textId="77777777"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7E8656E0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>местног</w:t>
      </w:r>
      <w:r w:rsidR="005B3FE0">
        <w:rPr>
          <w:rFonts w:ascii="Times New Roman" w:hAnsi="Times New Roman" w:cs="Times New Roman"/>
          <w:sz w:val="28"/>
          <w:szCs w:val="28"/>
        </w:rPr>
        <w:t>о самоуправления муниципального образования Садовый сельсовет Третьяковского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 xml:space="preserve">перечнем (далее - </w:t>
        </w:r>
        <w:r w:rsidRPr="00C821AE">
          <w:rPr>
            <w:rFonts w:ascii="PT Astra Serif" w:hAnsi="PT Astra Serif" w:cs="PT Astra Serif"/>
            <w:sz w:val="28"/>
            <w:szCs w:val="28"/>
          </w:rPr>
          <w:lastRenderedPageBreak/>
          <w:t>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2AF6EACB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 xml:space="preserve">в  </w:t>
      </w:r>
      <w:r w:rsidR="005B3FE0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5B3FE0">
        <w:rPr>
          <w:rFonts w:ascii="Times New Roman" w:hAnsi="Times New Roman" w:cs="Times New Roman"/>
          <w:sz w:val="28"/>
          <w:szCs w:val="28"/>
        </w:rPr>
        <w:t xml:space="preserve"> Садового сельсовета Третьяковского района Алтайского края 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111A6DFD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</w:t>
      </w:r>
      <w:r w:rsidR="005B3FE0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5B3FE0">
        <w:rPr>
          <w:rFonts w:ascii="Times New Roman" w:hAnsi="Times New Roman" w:cs="Times New Roman"/>
          <w:sz w:val="28"/>
          <w:szCs w:val="28"/>
        </w:rPr>
        <w:t>Садовый сельсовет Третьяковского района Алтайского края</w:t>
      </w:r>
      <w:bookmarkStart w:id="3" w:name="_GoBack"/>
      <w:bookmarkEnd w:id="3"/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6772DEF8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B3FE0" w:rsidRPr="005B3FE0">
        <w:rPr>
          <w:rFonts w:ascii="Times New Roman" w:hAnsi="Times New Roman" w:cs="Times New Roman"/>
          <w:sz w:val="28"/>
          <w:szCs w:val="28"/>
        </w:rPr>
        <w:t>Садовый сельсовет Третьяковского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31B9761E" w14:textId="2C06E23E" w:rsidR="0086711E" w:rsidRPr="0086711E" w:rsidRDefault="005B3FE0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="0086711E"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D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Ефимец</w:t>
      </w:r>
      <w:proofErr w:type="spellEnd"/>
    </w:p>
    <w:sectPr w:rsidR="0086711E" w:rsidRPr="0086711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2D5486"/>
    <w:rsid w:val="003267BD"/>
    <w:rsid w:val="00360E5A"/>
    <w:rsid w:val="00397DB4"/>
    <w:rsid w:val="003C5332"/>
    <w:rsid w:val="0058593E"/>
    <w:rsid w:val="00594712"/>
    <w:rsid w:val="005B0836"/>
    <w:rsid w:val="005B3FE0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B3F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B3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B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Юзер</cp:lastModifiedBy>
  <cp:revision>6</cp:revision>
  <cp:lastPrinted>2023-11-23T07:51:00Z</cp:lastPrinted>
  <dcterms:created xsi:type="dcterms:W3CDTF">2023-10-17T07:21:00Z</dcterms:created>
  <dcterms:modified xsi:type="dcterms:W3CDTF">2023-11-23T08:41:00Z</dcterms:modified>
</cp:coreProperties>
</file>